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6"/>
        <w:gridCol w:w="20"/>
      </w:tblGrid>
      <w:tr w:rsidR="00E74432" w14:paraId="3EC1416E" w14:textId="77777777" w:rsidTr="00326881">
        <w:trPr>
          <w:trHeight w:val="1843"/>
        </w:trPr>
        <w:tc>
          <w:tcPr>
            <w:tcW w:w="115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45"/>
            </w:tblGrid>
            <w:tr w:rsidR="00E74432" w14:paraId="70EF9259" w14:textId="77777777" w:rsidTr="00835615">
              <w:trPr>
                <w:trHeight w:val="550"/>
              </w:trPr>
              <w:tc>
                <w:tcPr>
                  <w:tcW w:w="115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D26F9" w14:textId="16A4B0E0" w:rsidR="00326881" w:rsidRPr="00326881" w:rsidRDefault="00E74432" w:rsidP="00326881">
                  <w:pPr>
                    <w:jc w:val="center"/>
                    <w:rPr>
                      <w:rFonts w:ascii="Arial" w:eastAsia="Arial" w:hAnsi="Arial"/>
                      <w:color w:val="000000"/>
                      <w:sz w:val="36"/>
                      <w:lang w:val="hr-HR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Izvješće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provedenom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- </w:t>
                  </w:r>
                  <w:r w:rsidR="00326881">
                    <w:rPr>
                      <w:rFonts w:ascii="Arial" w:eastAsia="Arial" w:hAnsi="Arial"/>
                      <w:color w:val="000000"/>
                      <w:sz w:val="36"/>
                      <w:lang w:val="hr-HR"/>
                    </w:rPr>
                    <w:t>S</w:t>
                  </w:r>
                  <w:r w:rsidR="00326881" w:rsidRPr="00326881">
                    <w:rPr>
                      <w:rFonts w:ascii="Arial" w:eastAsia="Arial" w:hAnsi="Arial"/>
                      <w:color w:val="000000"/>
                      <w:sz w:val="36"/>
                      <w:lang w:val="hr-HR"/>
                    </w:rPr>
                    <w:t xml:space="preserve">avjetovanje o </w:t>
                  </w:r>
                  <w:r w:rsidR="00326881">
                    <w:rPr>
                      <w:rFonts w:ascii="Arial" w:eastAsia="Arial" w:hAnsi="Arial"/>
                      <w:color w:val="000000"/>
                      <w:sz w:val="36"/>
                      <w:lang w:val="hr-HR"/>
                    </w:rPr>
                    <w:t>N</w:t>
                  </w:r>
                  <w:r w:rsidR="00326881" w:rsidRPr="00326881">
                    <w:rPr>
                      <w:rFonts w:ascii="Arial" w:eastAsia="Arial" w:hAnsi="Arial"/>
                      <w:color w:val="000000"/>
                      <w:sz w:val="36"/>
                      <w:lang w:val="hr-HR"/>
                    </w:rPr>
                    <w:t>acrtu pravilnika o izmjenama pravilnika o specijalističkom usavršavanju prvostupnika sestrinstva u djelatnosti hitne medicine</w:t>
                  </w:r>
                </w:p>
                <w:p w14:paraId="7BC9347D" w14:textId="23CD02A3" w:rsidR="00E74432" w:rsidRDefault="00E74432" w:rsidP="00835615">
                  <w:pPr>
                    <w:jc w:val="center"/>
                  </w:pPr>
                </w:p>
              </w:tc>
            </w:tr>
          </w:tbl>
          <w:p w14:paraId="31CE52C0" w14:textId="77777777" w:rsidR="00E74432" w:rsidRDefault="00E74432" w:rsidP="00835615"/>
        </w:tc>
        <w:tc>
          <w:tcPr>
            <w:tcW w:w="24" w:type="dxa"/>
          </w:tcPr>
          <w:p w14:paraId="53495150" w14:textId="77777777" w:rsidR="00E74432" w:rsidRDefault="00E74432" w:rsidP="00835615">
            <w:pPr>
              <w:pStyle w:val="EmptyLayoutCell"/>
            </w:pPr>
          </w:p>
        </w:tc>
      </w:tr>
      <w:tr w:rsidR="00E74432" w14:paraId="6B8EB06B" w14:textId="77777777" w:rsidTr="00835615">
        <w:trPr>
          <w:trHeight w:val="794"/>
        </w:trPr>
        <w:tc>
          <w:tcPr>
            <w:tcW w:w="11512" w:type="dxa"/>
          </w:tcPr>
          <w:p w14:paraId="16F7EADC" w14:textId="77777777" w:rsidR="00E74432" w:rsidRDefault="00E74432" w:rsidP="00835615">
            <w:pPr>
              <w:pStyle w:val="EmptyLayoutCell"/>
            </w:pPr>
          </w:p>
        </w:tc>
        <w:tc>
          <w:tcPr>
            <w:tcW w:w="24" w:type="dxa"/>
          </w:tcPr>
          <w:p w14:paraId="3FF9C1DA" w14:textId="77777777" w:rsidR="00E74432" w:rsidRDefault="00E74432" w:rsidP="00835615">
            <w:pPr>
              <w:pStyle w:val="EmptyLayoutCell"/>
            </w:pPr>
          </w:p>
        </w:tc>
      </w:tr>
      <w:tr w:rsidR="00E74432" w14:paraId="1645D052" w14:textId="77777777" w:rsidTr="00835615">
        <w:tc>
          <w:tcPr>
            <w:tcW w:w="115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"/>
              <w:gridCol w:w="5094"/>
              <w:gridCol w:w="4393"/>
            </w:tblGrid>
            <w:tr w:rsidR="00E74432" w14:paraId="45C691AD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EC1C" w14:textId="77777777" w:rsidR="00E74432" w:rsidRDefault="00E74432" w:rsidP="0083561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Redni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D619" w14:textId="77777777" w:rsidR="00E74432" w:rsidRDefault="00E74432" w:rsidP="0083561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Korisnik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Komentar</w:t>
                  </w:r>
                  <w:proofErr w:type="spellEnd"/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5473" w14:textId="77777777" w:rsidR="00E74432" w:rsidRDefault="00E74432" w:rsidP="0083561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Odgovor</w:t>
                  </w:r>
                  <w:proofErr w:type="spellEnd"/>
                </w:p>
              </w:tc>
            </w:tr>
            <w:tr w:rsidR="00E74432" w14:paraId="7C9F4BC0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61C7" w14:textId="77777777" w:rsidR="00E74432" w:rsidRDefault="00E74432" w:rsidP="008356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E1CE" w14:textId="77777777" w:rsidR="00E74432" w:rsidRPr="00326881" w:rsidRDefault="003F142E" w:rsidP="00835615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Udruga </w:t>
                  </w:r>
                  <w:proofErr w:type="spellStart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>poslodavaca</w:t>
                  </w:r>
                  <w:proofErr w:type="spellEnd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>zdravstvu</w:t>
                  </w:r>
                  <w:proofErr w:type="spellEnd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>Hrvatske</w:t>
                  </w:r>
                  <w:proofErr w:type="spellEnd"/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</w:t>
                  </w:r>
                  <w:r w:rsidRPr="00326881">
                    <w:rPr>
                      <w:rFonts w:ascii="Arial" w:eastAsia="Arial" w:hAnsi="Arial" w:cs="Arial"/>
                      <w:b/>
                      <w:color w:val="000000"/>
                    </w:rPr>
                    <w:t>PRAVILNIK O IZMJENAMA PRAVILNIKA O SPECIJALISTIČKOM USAVRŠAVANJU PRVOSTUPNIKA SESTRINSTVA U DJELATNOSTI HITNE MEDICINE</w:t>
                  </w:r>
                </w:p>
                <w:p w14:paraId="47E6F785" w14:textId="5B3BD67F" w:rsidR="003F142E" w:rsidRPr="00326881" w:rsidRDefault="003F142E" w:rsidP="00835615">
                  <w:pPr>
                    <w:rPr>
                      <w:rFonts w:ascii="Arial" w:hAnsi="Arial" w:cs="Arial"/>
                    </w:rPr>
                  </w:pPr>
                  <w:r w:rsidRPr="00326881">
                    <w:rPr>
                      <w:rFonts w:ascii="Arial" w:hAnsi="Arial" w:cs="Arial"/>
                    </w:rPr>
                    <w:t xml:space="preserve">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savjetovanja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javnošću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Nacrtu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izmjenama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specijalističkom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usavršavanju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sestrinstva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djelatnosti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od 26.10.2022. do 10.11.2022.,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ispred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Udruge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poslodavaca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zdravstvu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Hrvatske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iznosimo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prijedloge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zdravstvenih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ustanova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naših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članica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: 1.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Klinički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centar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Rijeka: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Sukladno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pozivu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savjetovanje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vezano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uz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gore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spomenuti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dostavljamo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slijedeća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zapažanju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Unatoč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iznimnom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zadovoljstvu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intenzivnom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radu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povećanje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sestara u hitnoj medicini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dostavljamo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određena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zapažanja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rad medicinskih sestara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životno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ugroženim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bilo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kontekstu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vanbolničkog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transporta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cijelosti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odgovaraju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potrebi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Naime,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većinom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definiranima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protokolima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Europskog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društva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reanimatologiju – koji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situacijama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zastoja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neposredno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pred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zastoj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ovim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prijedlogom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dodatno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sužene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onemogućuju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prevenira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zastoj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disanja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započne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liječenjem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stabilizacijom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prilikom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medicinskog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kontakta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čime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potpunosti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negira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osnovna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svrha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medicinske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službe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Slobodni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koji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govore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prilog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navedenom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podijeljeno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najčešćim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patologijama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organskim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sustavima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: 1. ZBRINJAVANJE DIŠNOG PUTA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predloženi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pružatelj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usluge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medicinske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pomoći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MS//MT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dišni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put u politraumatiziranih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ozljedom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glave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teškim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opstrukcijom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dišnog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puta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opekline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anafilaksija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sigurni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endotrahealna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intubacija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uz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brzom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slijedu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Navedeno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nesigurne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situacije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gdje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pružatelj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zdravstvene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skrbi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kroz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edukacijski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okvir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adekvatno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osposobljen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uistinu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teško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postići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postojećim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okvirima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ne bi bez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kršenja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bio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stručno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opravdanu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mjeru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osiguranja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dišnog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puta. 2. ZBRINJAVANJE PACIJENATA S OTEŽANIM DISANJEM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Postojeći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prijedlog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adekvatnu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otežanim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disanjem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primjerice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1. Kardiogeni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edem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pluća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nitrati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primijeniti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isključivo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epistakse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prsištu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hipertenzivnim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emergencijama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26881">
                    <w:rPr>
                      <w:rFonts w:ascii="Arial" w:hAnsi="Arial" w:cs="Arial"/>
                    </w:rPr>
                    <w:t xml:space="preserve">(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kao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primjerice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plućnog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edema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gdje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osnovna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Fursemid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pogorša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lastRenderedPageBreak/>
                    <w:t>razine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edema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pluća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primijeniti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bi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preveniralo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pogoršanje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manifestacijama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popuštanja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2.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Kronična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opstruktivna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plućna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bolest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adekvatne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smislu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kortikosteroida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ipratropij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bromida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3.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Unatoč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liječenja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zatajivanja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disanja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ova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najčešća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predviđaju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ventilacije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pozitivnim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tlakom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navedeno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4.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tenzijskog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pneumotoraksa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94).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jasan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koji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to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medicinski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koji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primjenjuju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koji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dišu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spontano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25.)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ms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priprema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ventilator (ne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ga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koristiti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–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tehničar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reanimira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terenu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dolaska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cijelo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vrijeme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ventilira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samoširećim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balonom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spremnikom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 ga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slučaju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pružatelj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usluge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prisutan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kraj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dovelo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položaj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poduzeti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intervenciju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5.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Akutna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teška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astma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odobrene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sadašnjim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omogućuje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bolesnika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akutnom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teškom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astmom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sukladno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preporukama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Europskog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vijeća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reanimatologiju </w:t>
                  </w:r>
                  <w:proofErr w:type="gramStart"/>
                  <w:r w:rsidRPr="00326881">
                    <w:rPr>
                      <w:rFonts w:ascii="Arial" w:hAnsi="Arial" w:cs="Arial"/>
                    </w:rPr>
                    <w:t xml:space="preserve">(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nedostaju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antikolinergici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magnezij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sulfat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kortikosteroidi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adrenalin). 4. ZBRINJAVANJE PACIJENATA S POREMEĆAJIMA CIRKULACIJE 1.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sporim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bradikardije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>) – „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transkutana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elektrostumulacija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poznaje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priprema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proofErr w:type="gramStart"/>
                  <w:r w:rsidRPr="00326881">
                    <w:rPr>
                      <w:rFonts w:ascii="Arial" w:hAnsi="Arial" w:cs="Arial"/>
                    </w:rPr>
                    <w:t>asistira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>“</w:t>
                  </w:r>
                  <w:proofErr w:type="gram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Ukoliko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terenu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prilikom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prijevoza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opservacije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skrb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neizostavna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izostanak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navedenih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asistirati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dostupni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pružatelj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zdravstvene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usluge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brojnu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skupinu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i/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bolovima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prsima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otežanim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disanjem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i/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direktnu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životnu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opasnost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takvi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slučaju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provedbe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ovog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ne bi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siguran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zbrinuti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od MS/MT.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spore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uključuju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transkutanu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elektrostimulaciju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atropina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niz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čega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primijeniti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atropin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skladu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citiranim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svakodnevnoj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kliničkoj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praksi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dovoljno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>)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Referenca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: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Europskog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društva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reanimatologiju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napredno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održavanje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života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odraslih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2021.) 2.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brzim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tahikardije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>)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kardioverzija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elektrokardiverzija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najsigurniji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najučinkovitiji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liječenja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brzih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jedini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preporučeni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način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liječenja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nestabilnih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tahikardijom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šok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gubitak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infarkt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miokarda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teško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zatajivanje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). Po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razini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MS/MT ova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skupina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generalno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skupina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tegobama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lupanje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omaglica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pogodna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opskrbu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strane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Također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provođenje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sveukupne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Ukoliko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primjerice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amiodaron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koristi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kardiopulmonalnoj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reanimaciji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stabilizaciju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neizbježno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očekivati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prehospitalnim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destabilizacije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dodatne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lastRenderedPageBreak/>
                    <w:t>životne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ugroze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pogotovo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prilikom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dužeg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transporta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3. INTRAOSEALNI PRISTUP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upotrebu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bez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postavljanja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istoga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odraslih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upotreba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lidokaina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postavljanje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IO puta.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Skupina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otežanim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I.V.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pristupom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puno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šira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bez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svijesti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npr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korisnici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i.v.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droga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opeklinama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odrasli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bilo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šoka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itd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4. ZBRINJAVANJE PACIJENATA S BOLI U PRSIMA – AKUTNI KORNARNI SINDROM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prepoznavanje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AKS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posebice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STEMI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infarkta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omogućeno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adekvatne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obzirom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antiagregacijski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navedeni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5. PREPOZNAVANJE MOŽDANOG UDARA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potreba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prepoznavanja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moždanog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udara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6. ZBRINJAVANJE INTOKSICIRANIH PACIJENATA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naloksona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međutim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dozvoljena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flumazenila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kontekstu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nemogućnosti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adekvatnog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osiguranja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dišnog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puta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sigurnim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7. ZBRINJAVANJE FEBRILITETA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paracetamola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26881">
                    <w:rPr>
                      <w:rFonts w:ascii="Arial" w:hAnsi="Arial" w:cs="Arial"/>
                    </w:rPr>
                    <w:t xml:space="preserve">(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vrlo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sigurna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bolove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febrilitet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nesterodinih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protupalnih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koji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inače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dostupni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slobodnoj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prodaji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8. ZBIRNJAVANJE ISČAŠENJA ZGLOBOVA i OZLJEDA EKSTREMITETA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medicinske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ukoliko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to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nalaže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logika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repozicija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sedacije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isključivo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relativno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blage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analgezije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morfijem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neprikladnim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9. ZBINJAVANJE PACIJANTA SA ALERGIJSKIM REAKCIJAMA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postojećim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prijedlogom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isključivo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anafilaktičkim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šokom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alergijske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reakcije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osnovnom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antihistaminik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kortikosteriod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). 10. SNIŽAVANJE POVIŠENOG INTRAKRANIJALNOG TLAKA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terapijom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terapijska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spriječavanje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sekundarne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ozljede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mozga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odnosno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snižavanja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intrakranijalnog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tlaka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11. ZBRINJAVANJE PO ŽIVOT OPASNIH KRVARENJA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predviđena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mogućnost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prijemjene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kolodinih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otopina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cijelosti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potrebno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dopuniti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vezane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nadzor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invazivnim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intenzivnim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mjerama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liječenja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(respirator,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invazivno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mjerenje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tlaka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centralni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venski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pristup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drugi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standardno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sestrinski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imobilizacije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ekstremiteta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povećanje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sestara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obrade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pacijenata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naručivanje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RTG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pretraga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ekstremiteta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analgezija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pregleda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ordiniranje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laboratorijskih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pretraga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sukladno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standardnim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protokolima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slično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Također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bilo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potrebno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definitivno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zbrinjavanje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pružiti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MS/MT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jednostavne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steri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strip,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šivanje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jednostavne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frakture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bez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pomaka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uganuća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S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poštovanjem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skupina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specijalističko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usavršavanje medicinskih sestara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tehničara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djelatnosti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Objedinjenog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Kliničkog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bolničkog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centra Rijeka. Jennifer Babić, </w:t>
                  </w:r>
                  <w:proofErr w:type="spellStart"/>
                  <w:proofErr w:type="gramStart"/>
                  <w:r w:rsidRPr="00326881">
                    <w:rPr>
                      <w:rFonts w:ascii="Arial" w:hAnsi="Arial" w:cs="Arial"/>
                    </w:rPr>
                    <w:t>mag.med.techn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glavna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sestra OHBP-a KBC Rijeka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Dejan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Mačinković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mag.med.techn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glavni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tehničar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OHBP-a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lok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Sušak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KBC Rijeka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Dražen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Hodak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proofErr w:type="gramStart"/>
                  <w:r w:rsidRPr="00326881">
                    <w:rPr>
                      <w:rFonts w:ascii="Arial" w:hAnsi="Arial" w:cs="Arial"/>
                    </w:rPr>
                    <w:t>mag.med.techn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 -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glavni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tehničar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OHBP-a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lastRenderedPageBreak/>
                    <w:t>lok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Rijeka, KBC Rijeka Marko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Radeljak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proofErr w:type="gramStart"/>
                  <w:r w:rsidRPr="00326881">
                    <w:rPr>
                      <w:rFonts w:ascii="Arial" w:hAnsi="Arial" w:cs="Arial"/>
                    </w:rPr>
                    <w:t>mag.med.tech</w:t>
                  </w:r>
                  <w:proofErr w:type="spellEnd"/>
                  <w:proofErr w:type="gramEnd"/>
                  <w:r w:rsidRPr="00326881">
                    <w:rPr>
                      <w:rFonts w:ascii="Arial" w:hAnsi="Arial" w:cs="Arial"/>
                    </w:rPr>
                    <w:t xml:space="preserve">, OHBP, KBC Rijeka Mate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Lerga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dr.med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spec.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medicine, OHBP, KBC-Rijeka prim.dr.sc. Martina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Pavletić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dr.med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spec interne medicine,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subspec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nefrologije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intenzivne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pročelnica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OHBP-a KBC Rijeka. 2.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Opća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Zabok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hrvatskih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veterana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članak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1.,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5.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članak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12.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1.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trenutno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nemamo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sestrinstva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mogući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mentori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liječnici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doktori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 s 5 g.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iskustva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hitnoj,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dobro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rješenje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Prijedlog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: do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završetka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mentori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budu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probrani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testirani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)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koji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hitnoj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najmanje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10 g. 2.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članak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14.,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2.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ukoliko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minimum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upis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2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godine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hitnoj (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članak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8.),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hoće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stići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roku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od 3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godine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specijalističko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usavršavanje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početka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zapošljavanja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što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uvjet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2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definirati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da on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može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tima2? 3.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Pravilniku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izmjenama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se ne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govori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kada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bi se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krenulo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OHBP-u? 4.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Prilog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II.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Popis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3 –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prepoznaje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srčani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zastoj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naprednog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održavanja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života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se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voditi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reanimaciju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po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ERC-a?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12-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prepoznaje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letalne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poremećaje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ritma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sukladno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ERC-a 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se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provoditi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postupak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defibrilacije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manualnim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defibrilatorima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primjenjivati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lijekove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dobiti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kompetencije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nakon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Točka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83.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napredne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održavanja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života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kod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skladu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smjernicama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smatra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se da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nakon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bolnicama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samostalno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provoditi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postupke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5.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Ukoliko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bude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ovlaštena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ustanova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provođenje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hoće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OHBP-u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dio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obaviti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svojoj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bolnici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6.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Tko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plaćati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OHBP-a,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ustanova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ih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šalje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7.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Nakon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postoji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vremenski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period koji med. sestra mora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ustanovi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je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specijalizirala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? 8.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Koeficijent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za med.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prvostupnice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sestrinstva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specijalista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djelatnosti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hitne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medicine? 9.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Postoji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li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određen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vremenski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period 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kojem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med. sestra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koja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OHBP-u mora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specijalizaciju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ili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će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dalje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u OHBP-u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moći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raditi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sestre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bez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završene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specijalizacije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srednje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stručne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6881">
                    <w:rPr>
                      <w:rFonts w:ascii="Arial" w:hAnsi="Arial" w:cs="Arial"/>
                    </w:rPr>
                    <w:t>spreme</w:t>
                  </w:r>
                  <w:proofErr w:type="spellEnd"/>
                  <w:r w:rsidRPr="00326881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3068" w14:textId="77777777" w:rsidR="00326881" w:rsidRDefault="00E74432" w:rsidP="003F142E">
                  <w:pPr>
                    <w:jc w:val="both"/>
                    <w:rPr>
                      <w:sz w:val="24"/>
                      <w:szCs w:val="24"/>
                    </w:rPr>
                  </w:pPr>
                  <w:r w:rsidRPr="00D56C2A"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br/>
                  </w:r>
                </w:p>
                <w:p w14:paraId="443F39B1" w14:textId="77777777" w:rsidR="00326881" w:rsidRDefault="00326881" w:rsidP="003F14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BF9A500" w14:textId="77777777" w:rsidR="00326881" w:rsidRDefault="00326881" w:rsidP="003F14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48032B5" w14:textId="77777777" w:rsidR="00326881" w:rsidRDefault="00326881" w:rsidP="003F14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2B27646" w14:textId="533BB449" w:rsidR="003F142E" w:rsidRDefault="003F142E" w:rsidP="003F142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Djelomično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prihvaća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3970C6B" w14:textId="54C40550" w:rsidR="003F142E" w:rsidRDefault="003F142E" w:rsidP="003F14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F0CC0D9" w14:textId="77777777" w:rsidR="003F142E" w:rsidRPr="00026225" w:rsidRDefault="003F142E" w:rsidP="003F14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A0D73BF" w14:textId="77777777" w:rsidR="00847E14" w:rsidRDefault="003F142E" w:rsidP="000262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popis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kompetencija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dodaje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intraoselani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pristup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 za </w:t>
                  </w:r>
                  <w:proofErr w:type="spellStart"/>
                  <w:r w:rsidR="00847E14">
                    <w:rPr>
                      <w:sz w:val="24"/>
                      <w:szCs w:val="24"/>
                    </w:rPr>
                    <w:t>odrasle</w:t>
                  </w:r>
                  <w:proofErr w:type="spellEnd"/>
                  <w:r w:rsidR="00847E1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6FE1603" w14:textId="59C85E93" w:rsidR="00E74432" w:rsidRPr="00026225" w:rsidRDefault="00847E14" w:rsidP="0002622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druge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navedene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intervencije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6881">
                    <w:rPr>
                      <w:sz w:val="24"/>
                      <w:szCs w:val="24"/>
                    </w:rPr>
                    <w:t>iz</w:t>
                  </w:r>
                  <w:proofErr w:type="spellEnd"/>
                  <w:r w:rsidR="003268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6881">
                    <w:rPr>
                      <w:sz w:val="24"/>
                      <w:szCs w:val="24"/>
                    </w:rPr>
                    <w:t>prijedloga</w:t>
                  </w:r>
                  <w:proofErr w:type="spellEnd"/>
                  <w:r w:rsidR="003268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moći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će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provoditi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nakon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telemedicinske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konzultacije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 </w:t>
                  </w:r>
                  <w:proofErr w:type="spellStart"/>
                  <w:r>
                    <w:rPr>
                      <w:sz w:val="24"/>
                      <w:szCs w:val="24"/>
                    </w:rPr>
                    <w:t>liječnik</w:t>
                  </w:r>
                  <w:r w:rsidR="00326881">
                    <w:rPr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specijalistom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74432" w14:paraId="523375FD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FCB7" w14:textId="77777777" w:rsidR="00E74432" w:rsidRDefault="00E74432" w:rsidP="008356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D40B" w14:textId="718157A5" w:rsidR="00847E14" w:rsidRDefault="00847E14" w:rsidP="00835615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>Romeo Novak</w:t>
                  </w:r>
                  <w:r w:rsidR="00E74432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47E14">
                    <w:rPr>
                      <w:rFonts w:ascii="Arial" w:eastAsia="Arial" w:hAnsi="Arial"/>
                      <w:b/>
                      <w:color w:val="000000"/>
                    </w:rPr>
                    <w:t>PRAVILNIK O IZMJENAMA PRAVILNIKA O SPECIJALISTIČKOM USAVRŠAVANJU PRVOSTUPNIKA SESTRINSTVA U DJELATNOSTI HITNE MEDICINE</w:t>
                  </w:r>
                </w:p>
                <w:p w14:paraId="13D0A49E" w14:textId="24A362FE" w:rsidR="00E74432" w:rsidRDefault="00847E14" w:rsidP="0083561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Članak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1.</w:t>
                  </w:r>
                  <w:r w:rsidR="00E74432"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Poštovani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mišljenja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Članku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1.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treba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pisati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specijalizant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može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biti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prvostupnik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sestrinstva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magistar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sestrinstva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najmanje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prvostupnik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sestrinstva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Tako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stvar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jasnija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se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magistri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poslije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moraju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boriti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poslodavcem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objašnjavati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bi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značilo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Budući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će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specijalisti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timu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2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sami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odlučivati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bez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liječnika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obzirom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kompetencije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će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imati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vidim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razloga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odnosno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čudim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zašto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stavljen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magistar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sestrinstva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F45A" w14:textId="77777777" w:rsidR="00E74432" w:rsidRDefault="00E74432" w:rsidP="00835615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  <w:p w14:paraId="0A88631A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3C9A83E3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53045B10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5175E7F4" w14:textId="0EC2675F" w:rsidR="00E74432" w:rsidRPr="00E62248" w:rsidRDefault="00847E14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Ne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prihvaća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se.</w:t>
                  </w:r>
                </w:p>
                <w:p w14:paraId="33504B84" w14:textId="77777777" w:rsidR="00E74432" w:rsidRDefault="00E74432" w:rsidP="00835615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2A6DD28F" w14:textId="11268578" w:rsidR="00E74432" w:rsidRPr="00E62248" w:rsidRDefault="00847E14" w:rsidP="0083561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Pravilnikom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definira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n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ajniža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razina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obrazovanja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, a to je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najmanje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prvostupnik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sestrinstva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što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uključuje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svaku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razinu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obrazovanja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iznad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nevedene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.</w:t>
                  </w:r>
                  <w:r w:rsidR="00E74432" w:rsidRPr="00E62248">
                    <w:rPr>
                      <w:rFonts w:eastAsia="Arial"/>
                      <w:color w:val="000000"/>
                      <w:sz w:val="24"/>
                      <w:szCs w:val="24"/>
                    </w:rPr>
                    <w:br/>
                  </w:r>
                  <w:r w:rsidR="00E74432" w:rsidRPr="00E62248">
                    <w:rPr>
                      <w:rFonts w:eastAsia="Arial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E74432" w14:paraId="702FEBBE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540A" w14:textId="77777777" w:rsidR="00E74432" w:rsidRDefault="00E74432" w:rsidP="008356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C98" w14:textId="77777777" w:rsidR="00847E14" w:rsidRDefault="00847E14" w:rsidP="00835615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Hrvatska </w:t>
                  </w:r>
                  <w:proofErr w:type="spellStart"/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>komora</w:t>
                  </w:r>
                  <w:proofErr w:type="spellEnd"/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 medicinskih sestara</w:t>
                  </w:r>
                  <w:r w:rsidR="00E74432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47E14">
                    <w:rPr>
                      <w:rFonts w:ascii="Arial" w:eastAsia="Arial" w:hAnsi="Arial"/>
                      <w:b/>
                      <w:color w:val="000000"/>
                    </w:rPr>
                    <w:t xml:space="preserve">PRAVILNIK O IZMJENAMA PRAVILNIKA O SPECIJALISTIČKOM USAVRŠAVANJU </w:t>
                  </w:r>
                  <w:r w:rsidRPr="00847E14"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PRVOSTUPNIKA SESTRINSTVA U DJELATNOSTI HITNE MEDICINE</w:t>
                  </w:r>
                </w:p>
                <w:p w14:paraId="5A9EB10A" w14:textId="1EC89C8B" w:rsidR="00E74432" w:rsidRDefault="00847E14" w:rsidP="0083561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Prilog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1.</w:t>
                  </w:r>
                  <w:r w:rsidR="00E74432"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Podržavamo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povećanje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broja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sati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praktičnog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rada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870,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sada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1200),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međutim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ne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smanjenje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vježbi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kabinetu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255,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sada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50). Naime,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provođenje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temeljnih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vještina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pod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nadzorom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educiranog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nastavnika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visokoškolskoj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ustanovi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smatramo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izuzetno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važnim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posebno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obzirom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povećane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kompetencije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Polaznika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bi se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kontroliranim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uvjetima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uvježbavalo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vještinama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pripremalo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ga se za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realne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uvjete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Osim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toga,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predlažemo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razdvajanje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kolegija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3.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Komunikacija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etika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zdravstveno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zakonodavstvo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obzirom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se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radi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različitim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znanstvenim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disciplinama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/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područjima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bi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trebali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imati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svaki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svoj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ishod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učenja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E571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74D2720C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460231B7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15E4BAE8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5CA675E1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528CC19B" w14:textId="77777777" w:rsidR="00326881" w:rsidRDefault="00326881" w:rsidP="00835615">
                  <w:pPr>
                    <w:rPr>
                      <w:sz w:val="24"/>
                      <w:szCs w:val="24"/>
                    </w:rPr>
                  </w:pPr>
                </w:p>
                <w:p w14:paraId="10AF05EF" w14:textId="77777777" w:rsidR="00E74432" w:rsidRDefault="00847E14" w:rsidP="0083561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Primljeno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 </w:t>
                  </w:r>
                  <w:proofErr w:type="spellStart"/>
                  <w:r>
                    <w:rPr>
                      <w:sz w:val="24"/>
                      <w:szCs w:val="24"/>
                    </w:rPr>
                    <w:t>znanje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B434EB9" w14:textId="50420B0E" w:rsidR="00326881" w:rsidRPr="00C04F9C" w:rsidRDefault="00326881" w:rsidP="008356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4432" w14:paraId="7C831ACC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BE5F" w14:textId="77777777" w:rsidR="00E74432" w:rsidRDefault="00E74432" w:rsidP="008356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1DC1" w14:textId="7F15C835" w:rsidR="00847E14" w:rsidRPr="00847E14" w:rsidRDefault="00847E14" w:rsidP="00847E14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Karmen </w:t>
                  </w:r>
                  <w:proofErr w:type="spellStart"/>
                  <w:r>
                    <w:rPr>
                      <w:rFonts w:ascii="Arial" w:eastAsia="Arial" w:hAnsi="Arial"/>
                      <w:b/>
                      <w:bCs/>
                      <w:color w:val="000000"/>
                    </w:rPr>
                    <w:t>Lončarek</w:t>
                  </w:r>
                  <w:proofErr w:type="spellEnd"/>
                  <w:r w:rsidRPr="00847E14">
                    <w:rPr>
                      <w:rFonts w:ascii="Arial" w:eastAsia="Arial" w:hAnsi="Arial"/>
                      <w:b/>
                      <w:color w:val="000000"/>
                    </w:rPr>
                    <w:br/>
                    <w:t>PRAVILNIK O IZMJENAMA PRAVILNIKA O SPECIJALISTIČKOM USAVRŠAVANJU PRVOSTUPNIKA SESTRINSTVA U DJELATNOSTI HITNE MEDICINE</w:t>
                  </w:r>
                </w:p>
                <w:p w14:paraId="72A43623" w14:textId="77777777" w:rsidR="00847E14" w:rsidRPr="00847E14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>Prilog</w:t>
                  </w:r>
                  <w:proofErr w:type="spellEnd"/>
                  <w:r w:rsidRPr="00847E14"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 1.</w:t>
                  </w:r>
                  <w:r w:rsidR="00E74432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U program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usavršavanja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treba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dodati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sadržaje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skrbi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umiranju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Razlog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palijativni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pacijenti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čine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8-10%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intervencija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HMS-a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županijama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nerazvijenom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palijativom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Nadalje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med.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sestre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tehničari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u hitnoj medicini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vrlo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često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rade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umirućima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svakako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neusporedivo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češće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nego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vide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porođaj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. Usavršavanje o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umiranju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potrebno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već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zbog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toga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rad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pacijentima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emocionalno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iscrpljuje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vodi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pregaranju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  <w:p w14:paraId="20BDD37A" w14:textId="77777777" w:rsidR="00847E14" w:rsidRPr="00847E14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Predlažem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5 sati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predavanja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12 sati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kliničkih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vježbi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sklopu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rada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terenu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(3 x 4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sata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kućnim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posjetama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proofErr w:type="gramStart"/>
                  <w:r w:rsidRPr="00847E14">
                    <w:rPr>
                      <w:rFonts w:ascii="Arial" w:eastAsia="Arial" w:hAnsi="Arial"/>
                      <w:color w:val="000000"/>
                    </w:rPr>
                    <w:t>mobilnim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palijativnim</w:t>
                  </w:r>
                  <w:proofErr w:type="spellEnd"/>
                  <w:proofErr w:type="gram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timovima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).</w:t>
                  </w:r>
                </w:p>
                <w:p w14:paraId="316040DC" w14:textId="77777777" w:rsidR="00326881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Kao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potkrepu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navodim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da je HZHM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još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daleke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2015.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prepoznao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potrebu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za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usavršavanjem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te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izdao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"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Nacionalne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smjernice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za rad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izvanbolničke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bolničke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hitne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medicinske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službe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pacijentima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kojim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potrebna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palijativna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skrb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",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dostupne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na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linku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hyperlink r:id="rId6" w:history="1">
                    <w:r w:rsidR="00326881" w:rsidRPr="005A31EA">
                      <w:rPr>
                        <w:rStyle w:val="Hiperveza"/>
                        <w:rFonts w:ascii="Arial" w:eastAsia="Arial" w:hAnsi="Arial"/>
                      </w:rPr>
                      <w:t>https://www.google.com/url?sa=t&amp;rct=j&amp;q=&amp;esrc=s&amp;</w:t>
                    </w:r>
                    <w:r w:rsidR="00326881" w:rsidRPr="005A31EA">
                      <w:rPr>
                        <w:rStyle w:val="Hiperveza"/>
                        <w:rFonts w:ascii="Arial" w:eastAsia="Arial" w:hAnsi="Arial"/>
                      </w:rPr>
                      <w:t xml:space="preserve"> </w:t>
                    </w:r>
                    <w:r w:rsidR="00326881" w:rsidRPr="005A31EA">
                      <w:rPr>
                        <w:rStyle w:val="Hiperveza"/>
                        <w:rFonts w:ascii="Arial" w:eastAsia="Arial" w:hAnsi="Arial"/>
                      </w:rPr>
                      <w:t>source</w:t>
                    </w:r>
                  </w:hyperlink>
                  <w:r w:rsidRPr="00847E14">
                    <w:rPr>
                      <w:rFonts w:ascii="Arial" w:eastAsia="Arial" w:hAnsi="Arial"/>
                      <w:color w:val="000000"/>
                    </w:rPr>
                    <w:t>=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web&amp;cd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=&amp;cad=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rja&amp;uact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=8&amp;ved=2ahUKEwjD</w:t>
                  </w:r>
                </w:p>
                <w:p w14:paraId="43A3F043" w14:textId="77777777" w:rsidR="00326881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color w:val="000000"/>
                    </w:rPr>
                    <w:t>18TinoD7AhXHxqQKHVDfCm0QFnoECBkQAQ&amp;url</w:t>
                  </w:r>
                </w:p>
                <w:p w14:paraId="7EFAC16C" w14:textId="77777777" w:rsidR="00326881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color w:val="000000"/>
                    </w:rPr>
                    <w:t>=https%3A%2F%2Fwww.hzhm.hr%2Fsource%2F</w:t>
                  </w:r>
                </w:p>
                <w:p w14:paraId="2A59A8F8" w14:textId="77777777" w:rsidR="00326881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color w:val="000000"/>
                    </w:rPr>
                    <w:t>smjernice%2FNacionalne-smjernice-za-rad-izvanbolnicke-</w:t>
                  </w:r>
                  <w:r w:rsidR="00326881">
                    <w:rPr>
                      <w:rFonts w:ascii="Arial" w:eastAsia="Arial" w:hAnsi="Arial"/>
                      <w:color w:val="000000"/>
                    </w:rPr>
                    <w:t xml:space="preserve">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bolnicke.pdf&amp;usg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=AOvVaw3Zfq9nt_</w:t>
                  </w:r>
                </w:p>
                <w:p w14:paraId="685B4782" w14:textId="4CB3FBAC" w:rsidR="00E74432" w:rsidRPr="00326881" w:rsidRDefault="00847E14" w:rsidP="00847E14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hpE5eNJ3wW_w_c.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Dakle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imamo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čak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pisani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materijal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za usavršavanje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područja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palijative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 w:rsidRPr="00847E14">
                    <w:rPr>
                      <w:rFonts w:ascii="Arial" w:eastAsia="Arial" w:hAnsi="Arial"/>
                      <w:color w:val="000000"/>
                    </w:rPr>
                    <w:t>umiranja</w:t>
                  </w:r>
                  <w:proofErr w:type="spellEnd"/>
                  <w:r w:rsidRPr="00847E14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9C41" w14:textId="77777777" w:rsidR="00326881" w:rsidRDefault="00326881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6F28A6BF" w14:textId="77777777" w:rsidR="00326881" w:rsidRDefault="00326881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0F4ADCC5" w14:textId="77777777" w:rsidR="00326881" w:rsidRDefault="00326881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2991F736" w14:textId="77777777" w:rsidR="00326881" w:rsidRDefault="00326881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3A81D830" w14:textId="77777777" w:rsidR="00326881" w:rsidRDefault="00326881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6E6AADCD" w14:textId="0A21A537" w:rsidR="001F117C" w:rsidRDefault="00847E14" w:rsidP="001F117C">
                  <w:pPr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Primljeno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 xml:space="preserve"> na </w:t>
                  </w: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znanje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>.</w:t>
                  </w:r>
                </w:p>
                <w:p w14:paraId="47CBD4D2" w14:textId="71B04BB6" w:rsidR="00326881" w:rsidRDefault="00326881" w:rsidP="001F117C">
                  <w:pPr>
                    <w:jc w:val="both"/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  <w:p w14:paraId="135573A4" w14:textId="77777777" w:rsidR="00326881" w:rsidRPr="00FC2A11" w:rsidRDefault="00326881" w:rsidP="001F117C">
                  <w:pPr>
                    <w:jc w:val="both"/>
                    <w:rPr>
                      <w:rFonts w:eastAsiaTheme="minorEastAsia"/>
                      <w:sz w:val="24"/>
                      <w:szCs w:val="24"/>
                      <w:lang w:val="hr-HR" w:eastAsia="hr-HR"/>
                    </w:rPr>
                  </w:pPr>
                </w:p>
                <w:p w14:paraId="0D9A88E9" w14:textId="77777777" w:rsidR="00E74432" w:rsidRPr="00FC2A11" w:rsidRDefault="00E74432" w:rsidP="00835615">
                  <w:r w:rsidRPr="007312E0">
                    <w:rPr>
                      <w:rFonts w:eastAsia="Arial"/>
                      <w:sz w:val="24"/>
                      <w:szCs w:val="24"/>
                    </w:rPr>
                    <w:br/>
                  </w:r>
                </w:p>
              </w:tc>
            </w:tr>
            <w:tr w:rsidR="00E74432" w14:paraId="6B53AAA4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013D" w14:textId="77777777" w:rsidR="00E74432" w:rsidRDefault="00E74432" w:rsidP="008356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A90A" w14:textId="77777777" w:rsidR="00326881" w:rsidRPr="00326881" w:rsidRDefault="00326881" w:rsidP="00326881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326881"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Karmen </w:t>
                  </w:r>
                  <w:proofErr w:type="spellStart"/>
                  <w:r w:rsidRPr="00326881">
                    <w:rPr>
                      <w:rFonts w:ascii="Arial" w:eastAsia="Arial" w:hAnsi="Arial"/>
                      <w:b/>
                      <w:bCs/>
                      <w:color w:val="000000"/>
                    </w:rPr>
                    <w:t>Lončarek</w:t>
                  </w:r>
                  <w:proofErr w:type="spellEnd"/>
                  <w:r w:rsidRPr="00326881">
                    <w:rPr>
                      <w:rFonts w:ascii="Arial" w:eastAsia="Arial" w:hAnsi="Arial"/>
                      <w:b/>
                      <w:color w:val="000000"/>
                    </w:rPr>
                    <w:br/>
                    <w:t>PRAVILNIK O IZMJENAMA PRAVILNIKA O SPECIJALISTIČKOM USAVRŠAVANJU PRVOSTUPNIKA SESTRINSTVA U DJELATNOSTI HITNE MEDICINE</w:t>
                  </w:r>
                </w:p>
                <w:p w14:paraId="6444682F" w14:textId="11642724" w:rsidR="00E74432" w:rsidRPr="00326881" w:rsidRDefault="00326881" w:rsidP="00326881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326881">
                    <w:rPr>
                      <w:rFonts w:ascii="Arial" w:eastAsia="Arial" w:hAnsi="Arial"/>
                      <w:b/>
                      <w:bCs/>
                      <w:color w:val="000000"/>
                    </w:rPr>
                    <w:t>Prilog</w:t>
                  </w:r>
                  <w:proofErr w:type="spellEnd"/>
                  <w:r w:rsidRPr="00326881">
                    <w:rPr>
                      <w:rFonts w:ascii="Arial" w:eastAsia="Arial" w:hAnsi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bCs/>
                      <w:color w:val="000000"/>
                    </w:rPr>
                    <w:t>2</w:t>
                  </w:r>
                  <w:r w:rsidRPr="00326881">
                    <w:rPr>
                      <w:rFonts w:ascii="Arial" w:eastAsia="Arial" w:hAnsi="Arial"/>
                      <w:b/>
                      <w:bCs/>
                      <w:color w:val="000000"/>
                    </w:rPr>
                    <w:t>.</w:t>
                  </w:r>
                  <w:r w:rsidRPr="00326881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 w:rsidRPr="00326881">
                    <w:rPr>
                      <w:rFonts w:ascii="Arial" w:hAnsi="Arial" w:cs="Arial"/>
                      <w:lang w:val="hr-HR"/>
                    </w:rPr>
                    <w:t>Iza 16 dodati kompetenciju: "Prepoznaje sindrom skore smrti". Kompetencija je opisana na str. 11 u "Nacionalnim smjernicama za rad izvanbolničke i bolničke hitne medicinske službe s pacijentima kojim je potrebna palijativna skrb".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9C8E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3D79CCED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0FC4C73B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4700F0C6" w14:textId="77777777" w:rsidR="00326881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14:paraId="2F5DC9E9" w14:textId="0B1BDD2E" w:rsidR="00E74432" w:rsidRPr="002F5E99" w:rsidRDefault="00326881" w:rsidP="0083561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Primljeno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na </w:t>
                  </w:r>
                  <w:proofErr w:type="spellStart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znanje</w:t>
                  </w:r>
                  <w:proofErr w:type="spellEnd"/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C17CCA2" w14:textId="77777777" w:rsidR="00E74432" w:rsidRPr="002F5E99" w:rsidRDefault="00E74432" w:rsidP="00835615">
                  <w:pP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78122649" w14:textId="66FC457A" w:rsidR="00E74432" w:rsidRDefault="00E74432" w:rsidP="00EB30EB">
                  <w:r w:rsidRPr="002F5E99">
                    <w:rPr>
                      <w:rFonts w:eastAsia="Arial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E74432" w14:paraId="2961E932" w14:textId="77777777" w:rsidTr="00835615">
              <w:trPr>
                <w:trHeight w:val="282"/>
              </w:trPr>
              <w:tc>
                <w:tcPr>
                  <w:tcW w:w="1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339E" w14:textId="2C2949C8" w:rsidR="00E74432" w:rsidRDefault="00E74432" w:rsidP="00835615">
                  <w:pPr>
                    <w:jc w:val="right"/>
                  </w:pPr>
                </w:p>
              </w:tc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E660" w14:textId="77023E9F" w:rsidR="00E74432" w:rsidRDefault="00E74432" w:rsidP="00835615"/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7EEC" w14:textId="77777777" w:rsidR="00E74432" w:rsidRDefault="00E74432" w:rsidP="00F70725"/>
              </w:tc>
            </w:tr>
          </w:tbl>
          <w:p w14:paraId="2C3BE541" w14:textId="77777777" w:rsidR="00E74432" w:rsidRDefault="00E74432" w:rsidP="00835615"/>
        </w:tc>
        <w:tc>
          <w:tcPr>
            <w:tcW w:w="24" w:type="dxa"/>
          </w:tcPr>
          <w:p w14:paraId="10D6AA09" w14:textId="77777777" w:rsidR="00E74432" w:rsidRDefault="00E74432" w:rsidP="00835615">
            <w:pPr>
              <w:pStyle w:val="EmptyLayoutCell"/>
            </w:pPr>
          </w:p>
        </w:tc>
      </w:tr>
      <w:tr w:rsidR="00E74432" w14:paraId="6FBF1196" w14:textId="77777777" w:rsidTr="00835615">
        <w:trPr>
          <w:trHeight w:val="520"/>
        </w:trPr>
        <w:tc>
          <w:tcPr>
            <w:tcW w:w="11512" w:type="dxa"/>
          </w:tcPr>
          <w:p w14:paraId="0F55A459" w14:textId="77777777" w:rsidR="00E74432" w:rsidRDefault="00E74432" w:rsidP="00835615">
            <w:pPr>
              <w:pStyle w:val="EmptyLayoutCell"/>
            </w:pPr>
          </w:p>
        </w:tc>
        <w:tc>
          <w:tcPr>
            <w:tcW w:w="24" w:type="dxa"/>
          </w:tcPr>
          <w:p w14:paraId="638E938A" w14:textId="77777777" w:rsidR="00E74432" w:rsidRDefault="00E74432" w:rsidP="00835615">
            <w:pPr>
              <w:pStyle w:val="EmptyLayoutCell"/>
            </w:pPr>
          </w:p>
        </w:tc>
      </w:tr>
    </w:tbl>
    <w:p w14:paraId="10129C62" w14:textId="77777777" w:rsidR="00E74432" w:rsidRDefault="00E74432" w:rsidP="00E74432"/>
    <w:p w14:paraId="35061CDD" w14:textId="77777777" w:rsidR="00E74432" w:rsidRDefault="00E74432" w:rsidP="00E74432"/>
    <w:p w14:paraId="468E2C24" w14:textId="77777777" w:rsidR="00B25DA7" w:rsidRDefault="00B25DA7"/>
    <w:sectPr w:rsidR="00B25DA7" w:rsidSect="004F799A">
      <w:headerReference w:type="default" r:id="rId7"/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6439" w14:textId="77777777" w:rsidR="00B85C3D" w:rsidRDefault="00B85C3D">
      <w:r>
        <w:separator/>
      </w:r>
    </w:p>
  </w:endnote>
  <w:endnote w:type="continuationSeparator" w:id="0">
    <w:p w14:paraId="7851B515" w14:textId="77777777" w:rsidR="00B85C3D" w:rsidRDefault="00B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88"/>
      <w:gridCol w:w="1322"/>
      <w:gridCol w:w="5056"/>
    </w:tblGrid>
    <w:tr w:rsidR="009652D2" w14:paraId="2FCD1DD3" w14:textId="77777777">
      <w:tc>
        <w:tcPr>
          <w:tcW w:w="4514" w:type="dxa"/>
        </w:tcPr>
        <w:p w14:paraId="7FD2572B" w14:textId="77777777" w:rsidR="009652D2" w:rsidRDefault="00000000">
          <w:pPr>
            <w:pStyle w:val="EmptyLayoutCell"/>
          </w:pPr>
        </w:p>
      </w:tc>
      <w:tc>
        <w:tcPr>
          <w:tcW w:w="1440" w:type="dxa"/>
        </w:tcPr>
        <w:p w14:paraId="436714C4" w14:textId="77777777" w:rsidR="009652D2" w:rsidRDefault="00000000">
          <w:pPr>
            <w:pStyle w:val="EmptyLayoutCell"/>
          </w:pPr>
        </w:p>
      </w:tc>
      <w:tc>
        <w:tcPr>
          <w:tcW w:w="5582" w:type="dxa"/>
        </w:tcPr>
        <w:p w14:paraId="64947EB0" w14:textId="77777777" w:rsidR="009652D2" w:rsidRDefault="00000000">
          <w:pPr>
            <w:pStyle w:val="EmptyLayoutCell"/>
          </w:pPr>
        </w:p>
      </w:tc>
    </w:tr>
    <w:tr w:rsidR="009652D2" w14:paraId="2F265106" w14:textId="77777777">
      <w:tc>
        <w:tcPr>
          <w:tcW w:w="4514" w:type="dxa"/>
        </w:tcPr>
        <w:p w14:paraId="6AFDF31A" w14:textId="77777777" w:rsidR="009652D2" w:rsidRDefault="00000000">
          <w:pPr>
            <w:pStyle w:val="EmptyLayoutCell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"/>
          </w:tblGrid>
          <w:tr w:rsidR="009652D2" w14:paraId="3C9053F2" w14:textId="77777777">
            <w:trPr>
              <w:trHeight w:val="282"/>
            </w:trPr>
            <w:tc>
              <w:tcPr>
                <w:tcW w:w="1440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642947" w14:textId="77777777" w:rsidR="009652D2" w:rsidRDefault="00E74432"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B30EB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\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B30EB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F14BE0" w14:textId="77777777" w:rsidR="009652D2" w:rsidRDefault="00000000"/>
      </w:tc>
      <w:tc>
        <w:tcPr>
          <w:tcW w:w="5582" w:type="dxa"/>
        </w:tcPr>
        <w:p w14:paraId="4EF88580" w14:textId="77777777" w:rsidR="009652D2" w:rsidRDefault="00000000">
          <w:pPr>
            <w:pStyle w:val="EmptyLayoutCell"/>
          </w:pPr>
        </w:p>
      </w:tc>
    </w:tr>
    <w:tr w:rsidR="009652D2" w14:paraId="2B3D9D82" w14:textId="77777777">
      <w:tc>
        <w:tcPr>
          <w:tcW w:w="4514" w:type="dxa"/>
        </w:tcPr>
        <w:p w14:paraId="6BFF1EA1" w14:textId="77777777" w:rsidR="009652D2" w:rsidRDefault="00000000">
          <w:pPr>
            <w:pStyle w:val="EmptyLayoutCell"/>
          </w:pPr>
        </w:p>
      </w:tc>
      <w:tc>
        <w:tcPr>
          <w:tcW w:w="1440" w:type="dxa"/>
        </w:tcPr>
        <w:p w14:paraId="35470352" w14:textId="77777777" w:rsidR="009652D2" w:rsidRDefault="00000000">
          <w:pPr>
            <w:pStyle w:val="EmptyLayoutCell"/>
          </w:pPr>
        </w:p>
      </w:tc>
      <w:tc>
        <w:tcPr>
          <w:tcW w:w="5582" w:type="dxa"/>
        </w:tcPr>
        <w:p w14:paraId="00572BF2" w14:textId="77777777" w:rsidR="009652D2" w:rsidRDefault="0000000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32F" w14:textId="77777777" w:rsidR="00B85C3D" w:rsidRDefault="00B85C3D">
      <w:r>
        <w:separator/>
      </w:r>
    </w:p>
  </w:footnote>
  <w:footnote w:type="continuationSeparator" w:id="0">
    <w:p w14:paraId="38A8C089" w14:textId="77777777" w:rsidR="00B85C3D" w:rsidRDefault="00B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E777" w14:textId="77777777" w:rsidR="00822041" w:rsidRDefault="00E7443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32"/>
    <w:rsid w:val="00026225"/>
    <w:rsid w:val="000D080F"/>
    <w:rsid w:val="000F6806"/>
    <w:rsid w:val="001D7490"/>
    <w:rsid w:val="001F117C"/>
    <w:rsid w:val="002204C7"/>
    <w:rsid w:val="002F5E99"/>
    <w:rsid w:val="00326881"/>
    <w:rsid w:val="00342FAC"/>
    <w:rsid w:val="003A08BF"/>
    <w:rsid w:val="003F142E"/>
    <w:rsid w:val="004C2F1D"/>
    <w:rsid w:val="005D2DB8"/>
    <w:rsid w:val="005E6D29"/>
    <w:rsid w:val="00642F09"/>
    <w:rsid w:val="006F512C"/>
    <w:rsid w:val="007075A5"/>
    <w:rsid w:val="007312E0"/>
    <w:rsid w:val="00740753"/>
    <w:rsid w:val="00757776"/>
    <w:rsid w:val="00767328"/>
    <w:rsid w:val="00821382"/>
    <w:rsid w:val="00847E14"/>
    <w:rsid w:val="009A0D4C"/>
    <w:rsid w:val="00A530A9"/>
    <w:rsid w:val="00A620B8"/>
    <w:rsid w:val="00A903A1"/>
    <w:rsid w:val="00B25DA7"/>
    <w:rsid w:val="00B85C3D"/>
    <w:rsid w:val="00C04F9C"/>
    <w:rsid w:val="00D434C0"/>
    <w:rsid w:val="00D56C2A"/>
    <w:rsid w:val="00DA5CB0"/>
    <w:rsid w:val="00DF469C"/>
    <w:rsid w:val="00E52604"/>
    <w:rsid w:val="00E54F28"/>
    <w:rsid w:val="00E62248"/>
    <w:rsid w:val="00E74432"/>
    <w:rsid w:val="00EB30EB"/>
    <w:rsid w:val="00F7072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A967"/>
  <w15:chartTrackingRefBased/>
  <w15:docId w15:val="{F6FD3D75-8098-4454-9515-2C6569A3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6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E74432"/>
    <w:rPr>
      <w:sz w:val="2"/>
    </w:rPr>
  </w:style>
  <w:style w:type="character" w:styleId="Hiperveza">
    <w:name w:val="Hyperlink"/>
    <w:basedOn w:val="Zadanifontodlomka"/>
    <w:uiPriority w:val="99"/>
    <w:unhideWhenUsed/>
    <w:rsid w:val="00847E1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7E14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68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26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%20sour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Damir Važanić</cp:lastModifiedBy>
  <cp:revision>2</cp:revision>
  <dcterms:created xsi:type="dcterms:W3CDTF">2022-11-14T08:42:00Z</dcterms:created>
  <dcterms:modified xsi:type="dcterms:W3CDTF">2022-11-14T08:42:00Z</dcterms:modified>
</cp:coreProperties>
</file>